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CA9ED" w14:textId="2A6C9A7C" w:rsidR="00791F20" w:rsidRDefault="00791F20" w:rsidP="00D90545">
      <w:pPr>
        <w:spacing w:line="480" w:lineRule="auto"/>
        <w:jc w:val="center"/>
        <w:rPr>
          <w:rFonts w:ascii="Times New Roman" w:hAnsi="Times New Roman" w:cs="Times New Roman"/>
          <w:sz w:val="24"/>
          <w:szCs w:val="24"/>
        </w:rPr>
      </w:pPr>
    </w:p>
    <w:p w14:paraId="236F52CD" w14:textId="00C84E74" w:rsidR="00D90545" w:rsidRDefault="00D90545" w:rsidP="00D90545">
      <w:pPr>
        <w:spacing w:line="480" w:lineRule="auto"/>
        <w:jc w:val="center"/>
        <w:rPr>
          <w:rFonts w:ascii="Times New Roman" w:hAnsi="Times New Roman" w:cs="Times New Roman"/>
          <w:sz w:val="24"/>
          <w:szCs w:val="24"/>
        </w:rPr>
      </w:pPr>
    </w:p>
    <w:p w14:paraId="1F7672A9" w14:textId="1E1991EB" w:rsidR="00D90545" w:rsidRDefault="00D90545" w:rsidP="00D90545">
      <w:pPr>
        <w:spacing w:line="480" w:lineRule="auto"/>
        <w:jc w:val="center"/>
        <w:rPr>
          <w:rFonts w:ascii="Times New Roman" w:hAnsi="Times New Roman" w:cs="Times New Roman"/>
          <w:sz w:val="24"/>
          <w:szCs w:val="24"/>
        </w:rPr>
      </w:pPr>
    </w:p>
    <w:p w14:paraId="55FF9F27" w14:textId="4A8974E5" w:rsidR="00D90545" w:rsidRDefault="00D90545" w:rsidP="00D90545">
      <w:pPr>
        <w:spacing w:line="480" w:lineRule="auto"/>
        <w:jc w:val="center"/>
        <w:rPr>
          <w:rFonts w:ascii="Times New Roman" w:hAnsi="Times New Roman" w:cs="Times New Roman"/>
          <w:sz w:val="24"/>
          <w:szCs w:val="24"/>
        </w:rPr>
      </w:pPr>
    </w:p>
    <w:p w14:paraId="16564F8F" w14:textId="3ECE26A9" w:rsidR="00D90545" w:rsidRDefault="00406C71" w:rsidP="00B87B58">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0D80D421" w14:textId="77777777" w:rsidR="00B87B58" w:rsidRDefault="00B87B58" w:rsidP="00D90545">
      <w:pPr>
        <w:spacing w:line="480" w:lineRule="auto"/>
        <w:jc w:val="center"/>
        <w:rPr>
          <w:rFonts w:ascii="Times New Roman" w:hAnsi="Times New Roman" w:cs="Times New Roman"/>
          <w:sz w:val="24"/>
          <w:szCs w:val="24"/>
        </w:rPr>
      </w:pPr>
    </w:p>
    <w:p w14:paraId="6FB622A9" w14:textId="77777777" w:rsidR="00B87B58" w:rsidRDefault="00B87B58" w:rsidP="00D90545">
      <w:pPr>
        <w:spacing w:line="480" w:lineRule="auto"/>
        <w:jc w:val="center"/>
        <w:rPr>
          <w:rFonts w:ascii="Times New Roman" w:hAnsi="Times New Roman" w:cs="Times New Roman"/>
          <w:sz w:val="24"/>
          <w:szCs w:val="24"/>
        </w:rPr>
      </w:pPr>
    </w:p>
    <w:p w14:paraId="3AD66764" w14:textId="3D18883E" w:rsidR="00D90545" w:rsidRDefault="00406C71" w:rsidP="00D90545">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Environmental change</w:t>
      </w:r>
    </w:p>
    <w:p w14:paraId="69FCEFCF" w14:textId="0E7FDDC3" w:rsidR="00D90545" w:rsidRDefault="00406C71" w:rsidP="00D905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A6B3730" w14:textId="182A5C16" w:rsidR="00D90545" w:rsidRDefault="00406C71" w:rsidP="00D905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C1B6866" w14:textId="4BCDCD2F" w:rsidR="00D90545" w:rsidRDefault="00406C71" w:rsidP="00D9054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1455A3E" w14:textId="4CA3D204" w:rsidR="00D90545" w:rsidRDefault="00D90545" w:rsidP="00D90545">
      <w:pPr>
        <w:spacing w:line="480" w:lineRule="auto"/>
        <w:jc w:val="center"/>
        <w:rPr>
          <w:rFonts w:ascii="Times New Roman" w:hAnsi="Times New Roman" w:cs="Times New Roman"/>
          <w:sz w:val="24"/>
          <w:szCs w:val="24"/>
        </w:rPr>
      </w:pPr>
    </w:p>
    <w:p w14:paraId="43BCC6F5" w14:textId="3C29873C" w:rsidR="00D90545" w:rsidRDefault="00D90545" w:rsidP="00D90545">
      <w:pPr>
        <w:spacing w:line="480" w:lineRule="auto"/>
        <w:jc w:val="center"/>
        <w:rPr>
          <w:rFonts w:ascii="Times New Roman" w:hAnsi="Times New Roman" w:cs="Times New Roman"/>
          <w:sz w:val="24"/>
          <w:szCs w:val="24"/>
        </w:rPr>
      </w:pPr>
    </w:p>
    <w:p w14:paraId="2035E7A9" w14:textId="4F04F039" w:rsidR="00D90545" w:rsidRDefault="00D90545" w:rsidP="00D90545">
      <w:pPr>
        <w:spacing w:line="480" w:lineRule="auto"/>
        <w:jc w:val="center"/>
        <w:rPr>
          <w:rFonts w:ascii="Times New Roman" w:hAnsi="Times New Roman" w:cs="Times New Roman"/>
          <w:sz w:val="24"/>
          <w:szCs w:val="24"/>
        </w:rPr>
      </w:pPr>
    </w:p>
    <w:p w14:paraId="0B808C88" w14:textId="5D9BFE5E" w:rsidR="00D90545" w:rsidRDefault="00D90545" w:rsidP="00D90545">
      <w:pPr>
        <w:spacing w:line="480" w:lineRule="auto"/>
        <w:jc w:val="center"/>
        <w:rPr>
          <w:rFonts w:ascii="Times New Roman" w:hAnsi="Times New Roman" w:cs="Times New Roman"/>
          <w:sz w:val="24"/>
          <w:szCs w:val="24"/>
        </w:rPr>
      </w:pPr>
    </w:p>
    <w:p w14:paraId="447A487F" w14:textId="223BFCA4" w:rsidR="00D90545" w:rsidRDefault="00D90545" w:rsidP="00D90545">
      <w:pPr>
        <w:spacing w:line="480" w:lineRule="auto"/>
        <w:jc w:val="center"/>
        <w:rPr>
          <w:rFonts w:ascii="Times New Roman" w:hAnsi="Times New Roman" w:cs="Times New Roman"/>
          <w:sz w:val="24"/>
          <w:szCs w:val="24"/>
        </w:rPr>
      </w:pPr>
    </w:p>
    <w:p w14:paraId="2ADA3747" w14:textId="2FBF3BFA" w:rsidR="00D90545" w:rsidRDefault="00D90545" w:rsidP="006D19A4">
      <w:pPr>
        <w:spacing w:line="480" w:lineRule="auto"/>
        <w:rPr>
          <w:rFonts w:ascii="Times New Roman" w:hAnsi="Times New Roman" w:cs="Times New Roman"/>
          <w:sz w:val="24"/>
          <w:szCs w:val="24"/>
        </w:rPr>
      </w:pPr>
    </w:p>
    <w:p w14:paraId="566CB398" w14:textId="77777777" w:rsidR="006D19A4" w:rsidRDefault="006D19A4" w:rsidP="006D19A4">
      <w:pPr>
        <w:spacing w:line="480" w:lineRule="auto"/>
        <w:rPr>
          <w:rFonts w:ascii="Times New Roman" w:hAnsi="Times New Roman" w:cs="Times New Roman"/>
          <w:sz w:val="24"/>
          <w:szCs w:val="24"/>
        </w:rPr>
      </w:pPr>
      <w:bookmarkStart w:id="0" w:name="_GoBack"/>
      <w:bookmarkEnd w:id="0"/>
    </w:p>
    <w:p w14:paraId="38680DCF" w14:textId="2F4FB324" w:rsidR="00D90545" w:rsidRPr="00B87B58" w:rsidRDefault="00406C71" w:rsidP="00D90545">
      <w:pPr>
        <w:spacing w:line="480" w:lineRule="auto"/>
        <w:jc w:val="center"/>
        <w:rPr>
          <w:rFonts w:ascii="Times New Roman" w:hAnsi="Times New Roman" w:cs="Times New Roman"/>
          <w:sz w:val="24"/>
          <w:szCs w:val="24"/>
        </w:rPr>
      </w:pPr>
      <w:r w:rsidRPr="00B87B58">
        <w:rPr>
          <w:rFonts w:ascii="Times New Roman" w:hAnsi="Times New Roman" w:cs="Times New Roman"/>
          <w:b/>
          <w:bCs/>
          <w:sz w:val="24"/>
          <w:szCs w:val="24"/>
        </w:rPr>
        <w:lastRenderedPageBreak/>
        <w:t>Introduction</w:t>
      </w:r>
      <w:r w:rsidRPr="00B87B58">
        <w:rPr>
          <w:rFonts w:ascii="Times New Roman" w:hAnsi="Times New Roman" w:cs="Times New Roman"/>
          <w:sz w:val="24"/>
          <w:szCs w:val="24"/>
        </w:rPr>
        <w:t xml:space="preserve"> </w:t>
      </w:r>
    </w:p>
    <w:p w14:paraId="2C639F91" w14:textId="1917A045" w:rsidR="004E0EAE" w:rsidRDefault="00406C71" w:rsidP="00D9054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question examines the analytical approach of governance, as discussed in the tragedy of commons, and how the government-based analyses of </w:t>
      </w:r>
      <w:r>
        <w:rPr>
          <w:rFonts w:ascii="Times New Roman" w:hAnsi="Times New Roman" w:cs="Times New Roman"/>
          <w:sz w:val="24"/>
          <w:szCs w:val="24"/>
        </w:rPr>
        <w:t>environmental issues go beyond the frame of the tragedy of commons. It also explores how governance-based analysis helps highlight scale and garbage as the other environmental issues.</w:t>
      </w:r>
    </w:p>
    <w:p w14:paraId="3A6C40A6" w14:textId="060E8518" w:rsidR="00B87B58" w:rsidRPr="00B87B58" w:rsidRDefault="00406C71" w:rsidP="00B87B5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Q1.</w:t>
      </w:r>
    </w:p>
    <w:p w14:paraId="0C3A3843" w14:textId="77777777" w:rsidR="00B346DA" w:rsidRDefault="00406C71" w:rsidP="00D90545">
      <w:pPr>
        <w:spacing w:line="480" w:lineRule="auto"/>
        <w:rPr>
          <w:rFonts w:ascii="Times New Roman" w:hAnsi="Times New Roman" w:cs="Times New Roman"/>
          <w:sz w:val="24"/>
          <w:szCs w:val="24"/>
        </w:rPr>
      </w:pPr>
      <w:r>
        <w:rPr>
          <w:rFonts w:ascii="Times New Roman" w:hAnsi="Times New Roman" w:cs="Times New Roman"/>
          <w:sz w:val="24"/>
          <w:szCs w:val="24"/>
        </w:rPr>
        <w:tab/>
        <w:t>Environmental governance is a political ecology concept and a polic</w:t>
      </w:r>
      <w:r>
        <w:rPr>
          <w:rFonts w:ascii="Times New Roman" w:hAnsi="Times New Roman" w:cs="Times New Roman"/>
          <w:sz w:val="24"/>
          <w:szCs w:val="24"/>
        </w:rPr>
        <w:t>y of the environment that advocates sustainable development as the significant consideration used for managing human activities, either economic, social, and political. The tragedy of the commons is a situation where a system of resource sharing and the in</w:t>
      </w:r>
      <w:r>
        <w:rPr>
          <w:rFonts w:ascii="Times New Roman" w:hAnsi="Times New Roman" w:cs="Times New Roman"/>
          <w:sz w:val="24"/>
          <w:szCs w:val="24"/>
        </w:rPr>
        <w:t>dividual users act independently for their self-interests.</w:t>
      </w:r>
    </w:p>
    <w:p w14:paraId="2AECB402" w14:textId="5921076C" w:rsidR="004E0EAE" w:rsidRDefault="00406C71" w:rsidP="00B346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users here behave oppositely to the common user good by either depleting or spoiling the resource that is shared in the entire collective action. The most tragic of common issues are environmental. For instance, in fishing or marine industry, each fish</w:t>
      </w:r>
      <w:r>
        <w:rPr>
          <w:rFonts w:ascii="Times New Roman" w:hAnsi="Times New Roman" w:cs="Times New Roman"/>
          <w:sz w:val="24"/>
          <w:szCs w:val="24"/>
        </w:rPr>
        <w:t xml:space="preserve">erman might have their own best interests in mind and tend to catch as many fish as they can, and all the other fishermen my follow the lead. Some environmental issues addressed by </w:t>
      </w:r>
      <w:r w:rsidR="00643EFC">
        <w:rPr>
          <w:rFonts w:ascii="Times New Roman" w:hAnsi="Times New Roman" w:cs="Times New Roman"/>
          <w:sz w:val="24"/>
          <w:szCs w:val="24"/>
        </w:rPr>
        <w:t>governance-based analysis are;</w:t>
      </w:r>
    </w:p>
    <w:p w14:paraId="5974CC3F" w14:textId="116228BC" w:rsidR="00643EFC" w:rsidRDefault="00406C71" w:rsidP="00643EFC">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Scale </w:t>
      </w:r>
    </w:p>
    <w:p w14:paraId="5BC5C9AD" w14:textId="6B90E762" w:rsidR="00A008D8" w:rsidRDefault="00406C71" w:rsidP="00A008D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has been raised widespread concern over the degrading of the marine environment in Fiji. The debate is, however, global, and the main agenda is about the nature of the problem and the solutions that are appropriate. The scale then creeps in, and it m</w:t>
      </w:r>
      <w:r>
        <w:rPr>
          <w:rFonts w:ascii="Times New Roman" w:hAnsi="Times New Roman" w:cs="Times New Roman"/>
          <w:sz w:val="24"/>
          <w:szCs w:val="24"/>
        </w:rPr>
        <w:t>ainly controls the plan and the implementation of the management policies of the resources. Scale controls the human-</w:t>
      </w:r>
      <w:r>
        <w:rPr>
          <w:rFonts w:ascii="Times New Roman" w:hAnsi="Times New Roman" w:cs="Times New Roman"/>
          <w:sz w:val="24"/>
          <w:szCs w:val="24"/>
        </w:rPr>
        <w:lastRenderedPageBreak/>
        <w:t>environment interactions at the larger resource centers of the marine environment. It entails the politics of scale from political ecology.</w:t>
      </w:r>
      <w:r>
        <w:rPr>
          <w:rFonts w:ascii="Times New Roman" w:hAnsi="Times New Roman" w:cs="Times New Roman"/>
          <w:sz w:val="24"/>
          <w:szCs w:val="24"/>
        </w:rPr>
        <w:t xml:space="preserve"> Contribution to political ecology is seen through by developing a scalar narrative to rework the social and the ecological scales. The appropriate scale is closely bound to the role of science in marine technology and the </w:t>
      </w:r>
      <w:r w:rsidR="0056350B">
        <w:rPr>
          <w:rFonts w:ascii="Times New Roman" w:hAnsi="Times New Roman" w:cs="Times New Roman"/>
          <w:sz w:val="24"/>
          <w:szCs w:val="24"/>
        </w:rPr>
        <w:t>local’s</w:t>
      </w:r>
      <w:r>
        <w:rPr>
          <w:rFonts w:ascii="Times New Roman" w:hAnsi="Times New Roman" w:cs="Times New Roman"/>
          <w:sz w:val="24"/>
          <w:szCs w:val="24"/>
        </w:rPr>
        <w:t xml:space="preserve"> participation. Scaling in</w:t>
      </w:r>
      <w:r>
        <w:rPr>
          <w:rFonts w:ascii="Times New Roman" w:hAnsi="Times New Roman" w:cs="Times New Roman"/>
          <w:sz w:val="24"/>
          <w:szCs w:val="24"/>
        </w:rPr>
        <w:t xml:space="preserve"> Fiji has been done through </w:t>
      </w:r>
      <w:r w:rsidR="0056350B">
        <w:rPr>
          <w:rFonts w:ascii="Times New Roman" w:hAnsi="Times New Roman" w:cs="Times New Roman"/>
          <w:sz w:val="24"/>
          <w:szCs w:val="24"/>
        </w:rPr>
        <w:t>constructing an ecoregional scale that defines the Fiji Islands marine ecoregions, controlling</w:t>
      </w:r>
      <w:r>
        <w:rPr>
          <w:rFonts w:ascii="Times New Roman" w:hAnsi="Times New Roman" w:cs="Times New Roman"/>
          <w:sz w:val="24"/>
          <w:szCs w:val="24"/>
        </w:rPr>
        <w:t xml:space="preserve"> new technologies, </w:t>
      </w:r>
      <w:r w:rsidR="0056350B">
        <w:rPr>
          <w:rFonts w:ascii="Times New Roman" w:hAnsi="Times New Roman" w:cs="Times New Roman"/>
          <w:sz w:val="24"/>
          <w:szCs w:val="24"/>
        </w:rPr>
        <w:t>practicing centralized fisheries institutions, and controlling export marketing, especially the ship and container sizes (Ruddle and Johannes, 1985).</w:t>
      </w:r>
    </w:p>
    <w:p w14:paraId="216EE04A" w14:textId="09396953" w:rsidR="0056350B" w:rsidRDefault="00406C71" w:rsidP="0056350B">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Garbage </w:t>
      </w:r>
    </w:p>
    <w:p w14:paraId="66B4B14F" w14:textId="6B28055D" w:rsidR="00F832A9" w:rsidRDefault="00406C71" w:rsidP="005635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Canada, the Department of Geography and </w:t>
      </w:r>
      <w:r w:rsidR="00077D3B">
        <w:rPr>
          <w:rFonts w:ascii="Times New Roman" w:hAnsi="Times New Roman" w:cs="Times New Roman"/>
          <w:sz w:val="24"/>
          <w:szCs w:val="24"/>
        </w:rPr>
        <w:t xml:space="preserve">Department of Food Agriculture and Resource Economics at the University of Guelph </w:t>
      </w:r>
      <w:r w:rsidR="00B87B58">
        <w:rPr>
          <w:rFonts w:ascii="Times New Roman" w:hAnsi="Times New Roman" w:cs="Times New Roman"/>
          <w:sz w:val="24"/>
          <w:szCs w:val="24"/>
        </w:rPr>
        <w:t>conducted</w:t>
      </w:r>
      <w:r w:rsidR="00077D3B">
        <w:rPr>
          <w:rFonts w:ascii="Times New Roman" w:hAnsi="Times New Roman" w:cs="Times New Roman"/>
          <w:sz w:val="24"/>
          <w:szCs w:val="24"/>
        </w:rPr>
        <w:t xml:space="preserve"> research on Regulating Ontario's Circular economy through food waste legislation. According to Gustavsson et al., (2011), almost one-third of food produced is wasted along the supply chain. In Canada, more than forty percent of the produced food is estimated to be wasted annually. Bill 151 implementation has been suggested to diverse the waste streams.  </w:t>
      </w:r>
    </w:p>
    <w:p w14:paraId="73BF895E" w14:textId="0CE54B4E" w:rsidR="0056350B" w:rsidRDefault="00406C71" w:rsidP="005635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ActAct is commonly known as </w:t>
      </w:r>
      <w:r w:rsidR="00F832A9">
        <w:rPr>
          <w:rFonts w:ascii="Times New Roman" w:hAnsi="Times New Roman" w:cs="Times New Roman"/>
          <w:sz w:val="24"/>
          <w:szCs w:val="24"/>
        </w:rPr>
        <w:t>Waste</w:t>
      </w:r>
      <w:r>
        <w:rPr>
          <w:rFonts w:ascii="Times New Roman" w:hAnsi="Times New Roman" w:cs="Times New Roman"/>
          <w:sz w:val="24"/>
          <w:szCs w:val="24"/>
        </w:rPr>
        <w:t>-Free Ontario. The province through the ActAct has embrace commitment to an ecological modernization paradigm. There has been rising off the lines of tension that has the ideological perspectives</w:t>
      </w:r>
      <w:r>
        <w:rPr>
          <w:rFonts w:ascii="Times New Roman" w:hAnsi="Times New Roman" w:cs="Times New Roman"/>
          <w:sz w:val="24"/>
          <w:szCs w:val="24"/>
        </w:rPr>
        <w:t xml:space="preserve"> on food waste and whether it represents </w:t>
      </w:r>
      <w:r w:rsidR="00F832A9">
        <w:rPr>
          <w:rFonts w:ascii="Times New Roman" w:hAnsi="Times New Roman" w:cs="Times New Roman"/>
          <w:sz w:val="24"/>
          <w:szCs w:val="24"/>
        </w:rPr>
        <w:t>an efficient or inefficient economy. It also advocates for the prioritization of economic and environmental goals. The governance also provides legislation measures on the desired food waste treatment and penalties and prohibition of any activities that are undesired.</w:t>
      </w:r>
    </w:p>
    <w:p w14:paraId="5386B684" w14:textId="71187321" w:rsidR="00F832A9" w:rsidRDefault="00406C71" w:rsidP="0056350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People’s Republic of China, the consumption rates of electric and electronic devices are high. There </w:t>
      </w:r>
      <w:r w:rsidR="00B87B58">
        <w:rPr>
          <w:rFonts w:ascii="Times New Roman" w:hAnsi="Times New Roman" w:cs="Times New Roman"/>
          <w:sz w:val="24"/>
          <w:szCs w:val="24"/>
        </w:rPr>
        <w:t>have</w:t>
      </w:r>
      <w:r>
        <w:rPr>
          <w:rFonts w:ascii="Times New Roman" w:hAnsi="Times New Roman" w:cs="Times New Roman"/>
          <w:sz w:val="24"/>
          <w:szCs w:val="24"/>
        </w:rPr>
        <w:t xml:space="preserve"> been questions by many people on controlling the discarded </w:t>
      </w:r>
      <w:r w:rsidR="00B87B58">
        <w:rPr>
          <w:rFonts w:ascii="Times New Roman" w:hAnsi="Times New Roman" w:cs="Times New Roman"/>
          <w:sz w:val="24"/>
          <w:szCs w:val="24"/>
        </w:rPr>
        <w:t>electrical</w:t>
      </w:r>
      <w:r>
        <w:rPr>
          <w:rFonts w:ascii="Times New Roman" w:hAnsi="Times New Roman" w:cs="Times New Roman"/>
          <w:sz w:val="24"/>
          <w:szCs w:val="24"/>
        </w:rPr>
        <w:t xml:space="preserve"> and electronic appl</w:t>
      </w:r>
      <w:r>
        <w:rPr>
          <w:rFonts w:ascii="Times New Roman" w:hAnsi="Times New Roman" w:cs="Times New Roman"/>
          <w:sz w:val="24"/>
          <w:szCs w:val="24"/>
        </w:rPr>
        <w:t xml:space="preserve">iances. The set strategies to deploy them. China has entailed the Central government agencies, research institutes, and many recycling companies to bring a solution to the problem. this has happened through the united efforts of the informal sector of the </w:t>
      </w:r>
      <w:r>
        <w:rPr>
          <w:rFonts w:ascii="Times New Roman" w:hAnsi="Times New Roman" w:cs="Times New Roman"/>
          <w:sz w:val="24"/>
          <w:szCs w:val="24"/>
        </w:rPr>
        <w:t>economy</w:t>
      </w:r>
      <w:r w:rsidR="000E31A8">
        <w:rPr>
          <w:rFonts w:ascii="Times New Roman" w:hAnsi="Times New Roman" w:cs="Times New Roman"/>
          <w:sz w:val="24"/>
          <w:szCs w:val="24"/>
        </w:rPr>
        <w:t>, which creates entry barriers. Measures such as the green propaganda and technological processes have been majorly seen in the small-scale recyclers. Use of eco-friendly products.</w:t>
      </w:r>
    </w:p>
    <w:p w14:paraId="23B270FF" w14:textId="6CBC7DD5" w:rsidR="000E31A8" w:rsidRDefault="00406C71" w:rsidP="000E31A8">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Q2. “framings influence the question</w:t>
      </w:r>
      <w:r w:rsidR="00CA0711">
        <w:rPr>
          <w:rFonts w:ascii="Times New Roman" w:hAnsi="Times New Roman" w:cs="Times New Roman"/>
          <w:b/>
          <w:bCs/>
          <w:sz w:val="24"/>
          <w:szCs w:val="24"/>
        </w:rPr>
        <w:t xml:space="preserve">s </w:t>
      </w:r>
      <w:r>
        <w:rPr>
          <w:rFonts w:ascii="Times New Roman" w:hAnsi="Times New Roman" w:cs="Times New Roman"/>
          <w:b/>
          <w:bCs/>
          <w:sz w:val="24"/>
          <w:szCs w:val="24"/>
        </w:rPr>
        <w:t>that are asked and structure t</w:t>
      </w:r>
      <w:r>
        <w:rPr>
          <w:rFonts w:ascii="Times New Roman" w:hAnsi="Times New Roman" w:cs="Times New Roman"/>
          <w:b/>
          <w:bCs/>
          <w:sz w:val="24"/>
          <w:szCs w:val="24"/>
        </w:rPr>
        <w:t>he kind of knowledge that is produced. They determine what to include in the agenda and what is silenced."</w:t>
      </w:r>
    </w:p>
    <w:p w14:paraId="6077698E" w14:textId="3A1D0C8A" w:rsidR="000E31A8" w:rsidRDefault="00406C71" w:rsidP="000E31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Framing is a distinct process or a structure established to attain a specific goal. Different frames exhibit different features. The frames will </w:t>
      </w:r>
      <w:r>
        <w:rPr>
          <w:rFonts w:ascii="Times New Roman" w:hAnsi="Times New Roman" w:cs="Times New Roman"/>
          <w:sz w:val="24"/>
          <w:szCs w:val="24"/>
        </w:rPr>
        <w:t>dictate the type of technology, knowledge</w:t>
      </w:r>
      <w:r w:rsidR="00421A27">
        <w:rPr>
          <w:rFonts w:ascii="Times New Roman" w:hAnsi="Times New Roman" w:cs="Times New Roman"/>
          <w:sz w:val="24"/>
          <w:szCs w:val="24"/>
        </w:rPr>
        <w:t xml:space="preserve"> measures to be observed, and even the skills needed. Framing will as well vary with agendas. </w:t>
      </w:r>
    </w:p>
    <w:p w14:paraId="1BCB3487" w14:textId="77777777" w:rsidR="00FB6C71" w:rsidRDefault="00406C71" w:rsidP="000E31A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concern on the Global environmental change has become a global issue, and different measures have been set to curb a</w:t>
      </w:r>
      <w:r>
        <w:rPr>
          <w:rFonts w:ascii="Times New Roman" w:hAnsi="Times New Roman" w:cs="Times New Roman"/>
          <w:sz w:val="24"/>
          <w:szCs w:val="24"/>
        </w:rPr>
        <w:t>nd as well adapt human beings.  In Weaponizing vulnerability to climate change, different climate change adaptation measures are being implemented all over the world. There have been different joined efforts from academicians and practitioners to address t</w:t>
      </w:r>
      <w:r>
        <w:rPr>
          <w:rFonts w:ascii="Times New Roman" w:hAnsi="Times New Roman" w:cs="Times New Roman"/>
          <w:sz w:val="24"/>
          <w:szCs w:val="24"/>
        </w:rPr>
        <w:t xml:space="preserve">his issue. </w:t>
      </w:r>
    </w:p>
    <w:p w14:paraId="0776E8C5" w14:textId="0A07E2B5" w:rsidR="00421A27" w:rsidRDefault="00406C71" w:rsidP="000E31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Climate change globally has placed a threat of displacement. This could be defined through unintentional relocation of climate </w:t>
      </w:r>
      <w:r w:rsidR="00B87B58">
        <w:rPr>
          <w:rFonts w:ascii="Times New Roman" w:hAnsi="Times New Roman" w:cs="Times New Roman"/>
          <w:sz w:val="24"/>
          <w:szCs w:val="24"/>
        </w:rPr>
        <w:t>threats across</w:t>
      </w:r>
      <w:r>
        <w:rPr>
          <w:rFonts w:ascii="Times New Roman" w:hAnsi="Times New Roman" w:cs="Times New Roman"/>
          <w:sz w:val="24"/>
          <w:szCs w:val="24"/>
        </w:rPr>
        <w:t xml:space="preserve"> institutions where environmental amenities provision put a great risk on the impacts of climate change</w:t>
      </w:r>
      <w:r>
        <w:rPr>
          <w:rFonts w:ascii="Times New Roman" w:hAnsi="Times New Roman" w:cs="Times New Roman"/>
          <w:sz w:val="24"/>
          <w:szCs w:val="24"/>
        </w:rPr>
        <w:t xml:space="preserve"> (Atteridge and Remling, 2018). In </w:t>
      </w:r>
      <w:r w:rsidR="00B87B58">
        <w:rPr>
          <w:rFonts w:ascii="Times New Roman" w:hAnsi="Times New Roman" w:cs="Times New Roman"/>
          <w:sz w:val="24"/>
          <w:szCs w:val="24"/>
        </w:rPr>
        <w:t>Lagos</w:t>
      </w:r>
      <w:r>
        <w:rPr>
          <w:rFonts w:ascii="Times New Roman" w:hAnsi="Times New Roman" w:cs="Times New Roman"/>
          <w:sz w:val="24"/>
          <w:szCs w:val="24"/>
        </w:rPr>
        <w:t xml:space="preserve"> urban development, Nigeria has come up with some findings illustrating how the </w:t>
      </w:r>
      <w:r>
        <w:rPr>
          <w:rFonts w:ascii="Times New Roman" w:hAnsi="Times New Roman" w:cs="Times New Roman"/>
          <w:sz w:val="24"/>
          <w:szCs w:val="24"/>
        </w:rPr>
        <w:lastRenderedPageBreak/>
        <w:t xml:space="preserve">impact of climate-resistant development </w:t>
      </w:r>
      <w:r w:rsidR="007F20FE">
        <w:rPr>
          <w:rFonts w:ascii="Times New Roman" w:hAnsi="Times New Roman" w:cs="Times New Roman"/>
          <w:sz w:val="24"/>
          <w:szCs w:val="24"/>
        </w:rPr>
        <w:t xml:space="preserve">may cause social vulnerability to climate change by causing redistribution, and redirecting environmental threats. Through this method, well-intentioned infrastructure-based adaptation projects which aim to introduce environmental instabilities and unintended negative outcomes, the risk of storm surges and flooding was reduced in the urban space. It is clear from the above paragraphs that framing has influenced the type of knowledge used to solve the agenda of flooding and storm surges in the largest city in Africa. </w:t>
      </w:r>
    </w:p>
    <w:p w14:paraId="58951543" w14:textId="48D40AD7" w:rsidR="007F20FE" w:rsidRDefault="00406C71" w:rsidP="000E31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control floods and erosion again in Lagos, there was </w:t>
      </w:r>
      <w:r w:rsidR="00F55D08">
        <w:rPr>
          <w:rFonts w:ascii="Times New Roman" w:hAnsi="Times New Roman" w:cs="Times New Roman"/>
          <w:sz w:val="24"/>
          <w:szCs w:val="24"/>
        </w:rPr>
        <w:t>retaining wall built that was used to help Lagos contend with the coastal region and raise the sea level of the city (Brisman et al., 2018) the wall named as the great wall of Lagos (Eko Atlantic) is now visible from the space. The wall was built, putting into consideration factors such as global warming and the rising sea levels. The defense, however, provides a defense barrier to the new city and a portion of the Victoria island.</w:t>
      </w:r>
    </w:p>
    <w:p w14:paraId="09B0C110" w14:textId="1248FA88" w:rsidR="00F55D08" w:rsidRDefault="00406C71" w:rsidP="000E31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Miami, the most populous county in Florida with over 2.7 million residents, has been on the watch by </w:t>
      </w:r>
      <w:r w:rsidR="00E513D7">
        <w:rPr>
          <w:rFonts w:ascii="Times New Roman" w:hAnsi="Times New Roman" w:cs="Times New Roman"/>
          <w:sz w:val="24"/>
          <w:szCs w:val="24"/>
        </w:rPr>
        <w:t>analysts</w:t>
      </w:r>
      <w:r>
        <w:rPr>
          <w:rFonts w:ascii="Times New Roman" w:hAnsi="Times New Roman" w:cs="Times New Roman"/>
          <w:sz w:val="24"/>
          <w:szCs w:val="24"/>
        </w:rPr>
        <w:t xml:space="preserve"> from the flood risks associated with the rise of the sea level. there </w:t>
      </w:r>
      <w:r w:rsidR="00E513D7">
        <w:rPr>
          <w:rFonts w:ascii="Times New Roman" w:hAnsi="Times New Roman" w:cs="Times New Roman"/>
          <w:sz w:val="24"/>
          <w:szCs w:val="24"/>
        </w:rPr>
        <w:t>were</w:t>
      </w:r>
      <w:r>
        <w:rPr>
          <w:rFonts w:ascii="Times New Roman" w:hAnsi="Times New Roman" w:cs="Times New Roman"/>
          <w:sz w:val="24"/>
          <w:szCs w:val="24"/>
        </w:rPr>
        <w:t xml:space="preserve"> three categories of homes risks in the US. The residential properties at risk, the current value at risk, and the current property tax base at risk. According to Hauer (2017</w:t>
      </w:r>
      <w:r>
        <w:rPr>
          <w:rFonts w:ascii="Times New Roman" w:hAnsi="Times New Roman" w:cs="Times New Roman"/>
          <w:sz w:val="24"/>
          <w:szCs w:val="24"/>
        </w:rPr>
        <w:t>), a projected 2.5 million people will be displaced from Miami by sea-level rise by 2100</w:t>
      </w:r>
      <w:r w:rsidR="00E513D7">
        <w:rPr>
          <w:rFonts w:ascii="Times New Roman" w:hAnsi="Times New Roman" w:cs="Times New Roman"/>
          <w:sz w:val="24"/>
          <w:szCs w:val="24"/>
        </w:rPr>
        <w:t xml:space="preserve">, and an increased urban density will be able to accommodate the displaced coastal residents. This will come along with disadvantages since the neighborhoods will become prohibitively expensive. The framing here is how to mitigate the risks of the rise of the sea level, but at the same time studies on projections have been done and some of the agendas being raised include the high cost of living, crowded </w:t>
      </w:r>
      <w:r w:rsidR="00E513D7">
        <w:rPr>
          <w:rFonts w:ascii="Times New Roman" w:hAnsi="Times New Roman" w:cs="Times New Roman"/>
          <w:sz w:val="24"/>
          <w:szCs w:val="24"/>
        </w:rPr>
        <w:lastRenderedPageBreak/>
        <w:t>living conditions, weakened social networks, marginal living environments (Atkinson, 2000; Abel and white 2011).</w:t>
      </w:r>
    </w:p>
    <w:p w14:paraId="4218A50E" w14:textId="45D59156" w:rsidR="00F55D08" w:rsidRPr="000E31A8" w:rsidRDefault="00406C71" w:rsidP="000E31A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it up, framing</w:t>
      </w:r>
      <w:r w:rsidR="00B87B58">
        <w:rPr>
          <w:rFonts w:ascii="Times New Roman" w:hAnsi="Times New Roman" w:cs="Times New Roman"/>
          <w:sz w:val="24"/>
          <w:szCs w:val="24"/>
        </w:rPr>
        <w:t>,</w:t>
      </w:r>
      <w:r>
        <w:rPr>
          <w:rFonts w:ascii="Times New Roman" w:hAnsi="Times New Roman" w:cs="Times New Roman"/>
          <w:sz w:val="24"/>
          <w:szCs w:val="24"/>
        </w:rPr>
        <w:t xml:space="preserve"> at any given point, will dictate the nature of the problem, </w:t>
      </w:r>
      <w:r w:rsidR="00B87B58">
        <w:rPr>
          <w:rFonts w:ascii="Times New Roman" w:hAnsi="Times New Roman" w:cs="Times New Roman"/>
          <w:sz w:val="24"/>
          <w:szCs w:val="24"/>
        </w:rPr>
        <w:t>the knowledge required to provide a solution, and any question that might arise during the whole process. It also will affect what is included or censored on the agenda.</w:t>
      </w:r>
    </w:p>
    <w:p w14:paraId="355339CA" w14:textId="77777777" w:rsidR="00F832A9" w:rsidRPr="0056350B" w:rsidRDefault="00F832A9" w:rsidP="0056350B">
      <w:pPr>
        <w:spacing w:line="480" w:lineRule="auto"/>
        <w:ind w:firstLine="720"/>
        <w:rPr>
          <w:rFonts w:ascii="Times New Roman" w:hAnsi="Times New Roman" w:cs="Times New Roman"/>
          <w:sz w:val="24"/>
          <w:szCs w:val="24"/>
        </w:rPr>
      </w:pPr>
    </w:p>
    <w:p w14:paraId="07841FFD" w14:textId="77777777" w:rsidR="0056350B" w:rsidRPr="00643EFC" w:rsidRDefault="0056350B" w:rsidP="00A008D8">
      <w:pPr>
        <w:spacing w:line="480" w:lineRule="auto"/>
        <w:ind w:firstLine="720"/>
        <w:rPr>
          <w:rFonts w:ascii="Times New Roman" w:hAnsi="Times New Roman" w:cs="Times New Roman"/>
          <w:sz w:val="24"/>
          <w:szCs w:val="24"/>
        </w:rPr>
      </w:pPr>
    </w:p>
    <w:sectPr w:rsidR="0056350B" w:rsidRPr="00643EFC" w:rsidSect="00B87B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91D4B" w14:textId="77777777" w:rsidR="00406C71" w:rsidRDefault="00406C71">
      <w:pPr>
        <w:spacing w:after="0" w:line="240" w:lineRule="auto"/>
      </w:pPr>
      <w:r>
        <w:separator/>
      </w:r>
    </w:p>
  </w:endnote>
  <w:endnote w:type="continuationSeparator" w:id="0">
    <w:p w14:paraId="06B23CA2" w14:textId="77777777" w:rsidR="00406C71" w:rsidRDefault="00406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36334" w14:textId="77777777" w:rsidR="00406C71" w:rsidRDefault="00406C71">
      <w:pPr>
        <w:spacing w:after="0" w:line="240" w:lineRule="auto"/>
      </w:pPr>
      <w:r>
        <w:separator/>
      </w:r>
    </w:p>
  </w:footnote>
  <w:footnote w:type="continuationSeparator" w:id="0">
    <w:p w14:paraId="6A0BF8DB" w14:textId="77777777" w:rsidR="00406C71" w:rsidRDefault="00406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252435"/>
      <w:docPartObj>
        <w:docPartGallery w:val="Page Numbers (Top of Page)"/>
        <w:docPartUnique/>
      </w:docPartObj>
    </w:sdtPr>
    <w:sdtEndPr>
      <w:rPr>
        <w:noProof/>
      </w:rPr>
    </w:sdtEndPr>
    <w:sdtContent>
      <w:p w14:paraId="71139B59" w14:textId="67953202" w:rsidR="00B87B58" w:rsidRDefault="00406C71">
        <w:pPr>
          <w:pStyle w:val="Header"/>
          <w:jc w:val="right"/>
        </w:pPr>
        <w:r>
          <w:fldChar w:fldCharType="begin"/>
        </w:r>
        <w:r>
          <w:instrText xml:space="preserve"> PAGE   \* MERGEFORMAT </w:instrText>
        </w:r>
        <w:r>
          <w:fldChar w:fldCharType="separate"/>
        </w:r>
        <w:r w:rsidR="006D19A4">
          <w:rPr>
            <w:noProof/>
          </w:rPr>
          <w:t>4</w:t>
        </w:r>
        <w:r>
          <w:rPr>
            <w:noProof/>
          </w:rPr>
          <w:fldChar w:fldCharType="end"/>
        </w:r>
      </w:p>
    </w:sdtContent>
  </w:sdt>
  <w:p w14:paraId="5B1A60A4" w14:textId="6A1900F8" w:rsidR="00B87B58" w:rsidRPr="00B87B58" w:rsidRDefault="00406C71">
    <w:pPr>
      <w:pStyle w:val="Header"/>
      <w:rPr>
        <w:rFonts w:ascii="Times New Roman" w:hAnsi="Times New Roman" w:cs="Times New Roman"/>
      </w:rPr>
    </w:pPr>
    <w:r w:rsidRPr="00B87B58">
      <w:rPr>
        <w:rFonts w:ascii="Times New Roman" w:hAnsi="Times New Roman" w:cs="Times New Roman"/>
      </w:rPr>
      <w:t xml:space="preserve">Global Environmental change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873441"/>
      <w:docPartObj>
        <w:docPartGallery w:val="Page Numbers (Top of Page)"/>
        <w:docPartUnique/>
      </w:docPartObj>
    </w:sdtPr>
    <w:sdtEndPr>
      <w:rPr>
        <w:noProof/>
      </w:rPr>
    </w:sdtEndPr>
    <w:sdtContent>
      <w:p w14:paraId="564BE643" w14:textId="4C9D3765" w:rsidR="00B87B58" w:rsidRDefault="00406C71">
        <w:pPr>
          <w:pStyle w:val="Header"/>
          <w:jc w:val="right"/>
        </w:pPr>
        <w:r>
          <w:fldChar w:fldCharType="begin"/>
        </w:r>
        <w:r>
          <w:instrText xml:space="preserve"> PAGE   \* MERGEFORMAT </w:instrText>
        </w:r>
        <w:r>
          <w:fldChar w:fldCharType="separate"/>
        </w:r>
        <w:r w:rsidR="006D19A4">
          <w:rPr>
            <w:noProof/>
          </w:rPr>
          <w:t>1</w:t>
        </w:r>
        <w:r>
          <w:rPr>
            <w:noProof/>
          </w:rPr>
          <w:fldChar w:fldCharType="end"/>
        </w:r>
      </w:p>
    </w:sdtContent>
  </w:sdt>
  <w:p w14:paraId="0DAC770A" w14:textId="4279907E" w:rsidR="00B87B58" w:rsidRPr="00B87B58" w:rsidRDefault="00406C71">
    <w:pPr>
      <w:pStyle w:val="Header"/>
      <w:rPr>
        <w:rFonts w:ascii="Times New Roman" w:hAnsi="Times New Roman" w:cs="Times New Roman"/>
        <w:sz w:val="24"/>
        <w:szCs w:val="24"/>
      </w:rPr>
    </w:pPr>
    <w:r w:rsidRPr="00B87B58">
      <w:rPr>
        <w:rFonts w:ascii="Times New Roman" w:hAnsi="Times New Roman" w:cs="Times New Roman"/>
        <w:sz w:val="24"/>
        <w:szCs w:val="24"/>
      </w:rPr>
      <w:t>Running head: GLOBAL ENVIRONMENTAL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545"/>
    <w:rsid w:val="00077D3B"/>
    <w:rsid w:val="000E31A8"/>
    <w:rsid w:val="00406C71"/>
    <w:rsid w:val="00421A27"/>
    <w:rsid w:val="004E0EAE"/>
    <w:rsid w:val="0056350B"/>
    <w:rsid w:val="00643EFC"/>
    <w:rsid w:val="006D19A4"/>
    <w:rsid w:val="00791F20"/>
    <w:rsid w:val="007F20FE"/>
    <w:rsid w:val="00A008D8"/>
    <w:rsid w:val="00B03111"/>
    <w:rsid w:val="00B346DA"/>
    <w:rsid w:val="00B87B58"/>
    <w:rsid w:val="00CA0711"/>
    <w:rsid w:val="00D90545"/>
    <w:rsid w:val="00DD10F9"/>
    <w:rsid w:val="00E513D7"/>
    <w:rsid w:val="00F55D08"/>
    <w:rsid w:val="00F832A9"/>
    <w:rsid w:val="00FB6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70469"/>
  <w15:chartTrackingRefBased/>
  <w15:docId w15:val="{2D301833-4335-4BD7-890F-D2A9EA355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B58"/>
  </w:style>
  <w:style w:type="paragraph" w:styleId="Footer">
    <w:name w:val="footer"/>
    <w:basedOn w:val="Normal"/>
    <w:link w:val="FooterChar"/>
    <w:uiPriority w:val="99"/>
    <w:unhideWhenUsed/>
    <w:rsid w:val="00B87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6</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2020-04-20T06:50:00Z</dcterms:created>
  <dcterms:modified xsi:type="dcterms:W3CDTF">2020-04-20T10:52:00Z</dcterms:modified>
</cp:coreProperties>
</file>